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se establece en el reporte global 2022 de PRWeek como </w:t>
      </w:r>
      <w:r w:rsidDel="00000000" w:rsidR="00000000" w:rsidRPr="00000000">
        <w:rPr>
          <w:b w:val="1"/>
          <w:sz w:val="28"/>
          <w:szCs w:val="28"/>
          <w:rtl w:val="0"/>
        </w:rPr>
        <w:t xml:space="preserve">la segunda mejor agencia rankeada con base en América Latina </w:t>
      </w:r>
    </w:p>
    <w:p w:rsidR="00000000" w:rsidDel="00000000" w:rsidP="00000000" w:rsidRDefault="00000000" w:rsidRPr="00000000" w14:paraId="0000000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Como cada año, la afamada publicación especializada en el mundo de las Relaciones Públicas, PRWeek, dio a conocer su listado global </w:t>
      </w:r>
      <w:r w:rsidDel="00000000" w:rsidR="00000000" w:rsidRPr="00000000">
        <w:rPr>
          <w:b w:val="1"/>
          <w:rtl w:val="0"/>
        </w:rPr>
        <w:t xml:space="preserve">Agency Business Report 2022</w:t>
      </w:r>
      <w:r w:rsidDel="00000000" w:rsidR="00000000" w:rsidRPr="00000000">
        <w:rPr>
          <w:rtl w:val="0"/>
        </w:rPr>
        <w:t xml:space="preserve">, donde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commentRangeStart w:id="0"/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commentRangeEnd w:id="0"/>
      <w:r w:rsidDel="00000000" w:rsidR="00000000" w:rsidRPr="00000000">
        <w:commentReference w:id="0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se estableció como la agencia con base en México mejor clasificada del ranking, alcanzando el puesto 106 y subiendo cuatro peldaños en relación con el reporte del año pasado.</w:t>
      </w:r>
      <w:r w:rsidDel="00000000" w:rsidR="00000000" w:rsidRPr="00000000">
        <w:rPr>
          <w:rtl w:val="0"/>
        </w:rPr>
        <w:t xml:space="preserve"> Sólo arriba de ella quedó la brasileña </w:t>
      </w:r>
      <w:r w:rsidDel="00000000" w:rsidR="00000000" w:rsidRPr="00000000">
        <w:rPr>
          <w:highlight w:val="white"/>
          <w:rtl w:val="0"/>
        </w:rPr>
        <w:t xml:space="preserve">FSB Comuniçacão ocupando el lugar 38.</w:t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clasificación de </w:t>
      </w:r>
      <w:hyperlink r:id="rId11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another</w:t>
        </w:r>
      </w:hyperlink>
      <w:r w:rsidDel="00000000" w:rsidR="00000000" w:rsidRPr="00000000">
        <w:rPr>
          <w:highlight w:val="white"/>
          <w:rtl w:val="0"/>
        </w:rPr>
        <w:t xml:space="preserve"> se debe al crecimiento integral de la agencia durante el 2021, donde una convulsión mundial por el COVID-19 impactó a todas las industrias, incluyendo a la de las agencias de marketing; sin embargo, </w:t>
      </w:r>
      <w:commentRangeStart w:id="1"/>
      <w:r w:rsidDel="00000000" w:rsidR="00000000" w:rsidRPr="00000000">
        <w:rPr>
          <w:b w:val="1"/>
          <w:i w:val="1"/>
          <w:highlight w:val="white"/>
          <w:rtl w:val="0"/>
        </w:rPr>
        <w:t xml:space="preserve">another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b w:val="1"/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logró generar un desarrollo en sus operaciones, aumentando su personal en la región y expandiéndose hacia un total 21 países.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la agencia continuaremos trabajando para mejorar e innovar para seguir siendo referentes en nuestra industria, además, este tipo de clasificaciones nos plantea el desafío de seguirnos transformando como agencia regional y, por supuesto, seguir formando parte y subir más lugares en el listado, y esto lo lograremos a través de la planeación e implementación de planes de comunicación 360 basados en evolución tecnológica y una oferta completa de soluciones para cualquier tipo de marca e industria.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PRWeek es una revista especializada en la industria de las relaciones públicas con origen en el Reino Unido. Fue una creación de Geoffrey Lace, y empezó a funcionar con poco dinero hasta  que la publicación fue vendida a Haymarket alrededor de 1988. Actualmente es una publicación líder en el sector de las relaciones públicas y cuenta con una edición estadounidense, que se lanzó en 1998, así como una edición alemana y tiene representación en Asia. </w:t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Helvetica" w:cs="Helvetica" w:eastAsia="Helvetica" w:hAnsi="Helvetica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Helvetica" w:cs="Helvetica" w:eastAsia="Helvetica" w:hAnsi="Helvetica"/>
          <w:b w:val="1"/>
          <w:sz w:val="20"/>
          <w:szCs w:val="20"/>
          <w:u w:val="single"/>
          <w:rtl w:val="0"/>
        </w:rPr>
        <w:t xml:space="preserve">Sobre 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sz w:val="20"/>
          <w:szCs w:val="20"/>
          <w:u w:val="single"/>
          <w:rtl w:val="0"/>
        </w:rPr>
        <w:t xml:space="preserve">another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Helvetica" w:cs="Helvetica" w:eastAsia="Helvetica" w:hAnsi="Helvetica"/>
          <w:sz w:val="20"/>
          <w:szCs w:val="20"/>
        </w:rPr>
      </w:pP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Fundada em 2004 por Jaspar Eyears e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 a another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é uma agência independente que tem como objetivo revolucionar a comunicação estratégica por meio de campanhas poderosas e eficazes para posicionar várias marcas perante seus públicos. A 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conta com serviços integrados de relações públicas, comunicação digital, 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influencer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marketing, mídias sociais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, branding, inbound 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marketing de conteúdo, criação e design, pesquisa e inteligência de mercado e experiências de marca. A agência atua em unidades de negócio especializadas, classificadas em: moda, beleza, estilo de vida, consumo massivo, tecnologia, luxo, cultura, entretenimento, saúde e bem-estar, turismo e corporativo. A 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faz parte da Constellation Global Network e PRORP, e foi reconhecida com vários prêmios, como o SABRE Awards e o Latin American Excellence Awards. Possui escritórios no México (Casa </w:t>
      </w:r>
      <w:r w:rsidDel="00000000" w:rsidR="00000000" w:rsidRPr="00000000">
        <w:rPr>
          <w:rFonts w:ascii="Helvetica" w:cs="Helvetica" w:eastAsia="Helvetica" w:hAnsi="Helvetica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na Cidade do México), Argentina (Buenos Aires), Brasil (São Paulo), Chile (Santiago), Colômbia (Bogotá), Estados Unidos (Flórida), Panamá (Cidade do Panamá) e Peru (Lima), com atuação na Bolívia, Canadá, Costa Rica, Equador, El Salvador, Guatemala, Honduras, Porto Rico, República Dominicana, Paraguai, Uruguai e Europa.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Para mais informações, visite </w:t>
      </w:r>
      <w:hyperlink r:id="rId12">
        <w:r w:rsidDel="00000000" w:rsidR="00000000" w:rsidRPr="00000000">
          <w:rPr>
            <w:rFonts w:ascii="Helvetica" w:cs="Helvetica" w:eastAsia="Helvetica" w:hAnsi="Helvetica"/>
            <w:color w:val="1155cc"/>
            <w:sz w:val="20"/>
            <w:szCs w:val="20"/>
            <w:u w:val="single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e siga suas redes sociais: </w:t>
      </w:r>
      <w:hyperlink r:id="rId13">
        <w:r w:rsidDel="00000000" w:rsidR="00000000" w:rsidRPr="00000000">
          <w:rPr>
            <w:rFonts w:ascii="Helvetica" w:cs="Helvetica" w:eastAsia="Helvetica" w:hAnsi="Helvetica"/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, </w:t>
      </w:r>
      <w:hyperlink r:id="rId14">
        <w:r w:rsidDel="00000000" w:rsidR="00000000" w:rsidRPr="00000000">
          <w:rPr>
            <w:rFonts w:ascii="Helvetica" w:cs="Helvetica" w:eastAsia="Helvetica" w:hAnsi="Helvetica"/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, </w:t>
      </w:r>
      <w:hyperlink r:id="rId15">
        <w:r w:rsidDel="00000000" w:rsidR="00000000" w:rsidRPr="00000000">
          <w:rPr>
            <w:rFonts w:ascii="Helvetica" w:cs="Helvetica" w:eastAsia="Helvetica" w:hAnsi="Helvetica"/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 e </w:t>
      </w:r>
      <w:hyperlink r:id="rId16">
        <w:r w:rsidDel="00000000" w:rsidR="00000000" w:rsidRPr="00000000">
          <w:rPr>
            <w:rFonts w:ascii="Helvetica" w:cs="Helvetica" w:eastAsia="Helvetica" w:hAnsi="Helvetica"/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gustina Figueras" w:id="0" w:date="2022-05-12T12:18:01Z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teams por favor generar e incluir link trackeable</w:t>
      </w:r>
    </w:p>
  </w:comment>
  <w:comment w:author="Agustina Figueras" w:id="1" w:date="2022-05-12T12:18:06Z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teams por favor generar e incluir link trackeable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3838575</wp:posOffset>
          </wp:positionH>
          <wp:positionV relativeFrom="page">
            <wp:posOffset>66675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other.co/?utm_source=PR+Week+-+Honduras&amp;utm_medium=PR+Week+-+Honduras&amp;utm_campaign=PR+Week+-+Honduras&amp;utm_id=PR+Week+-+Honduras&amp;utm_term=PR+Week+-+Honduras&amp;utm_content=PR+Week+-+Honduras" TargetMode="External"/><Relationship Id="rId10" Type="http://schemas.openxmlformats.org/officeDocument/2006/relationships/hyperlink" Target="https://another.co/?utm_source=PR+Week+-+Honduras&amp;utm_medium=PR+Week+-+Honduras&amp;utm_campaign=PR+Week+-+Honduras&amp;utm_id=PR+Week+-+Honduras&amp;utm_term=PR+Week+-+Honduras&amp;utm_content=PR+Week+-+Honduras" TargetMode="External"/><Relationship Id="rId13" Type="http://schemas.openxmlformats.org/officeDocument/2006/relationships/hyperlink" Target="https://www.facebook.com/anothercompany?utm_source=PR&amp;utm_medium=nota&amp;utm_campaign=%22PR+Week%22+%2B+%22Brasil%22&amp;utm_id=Brasil" TargetMode="External"/><Relationship Id="rId12" Type="http://schemas.openxmlformats.org/officeDocument/2006/relationships/hyperlink" Target="https://another.co/?utm_source=PR&amp;utm_medium=nota&amp;utm_campaign=%22PR+Week%22+%2B+%22Brasil%22&amp;utm_id=Brasil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another.co/?utm_source=PR+Week+-+Honduras&amp;utm_medium=PR+Week+-+Honduras&amp;utm_campaign=PR+Week+-+Honduras&amp;utm_id=PR+Week+-+Honduras&amp;utm_term=PR+Week+-+Honduras&amp;utm_content=PR+Week+-+Honduras" TargetMode="External"/><Relationship Id="rId15" Type="http://schemas.openxmlformats.org/officeDocument/2006/relationships/hyperlink" Target="https://www.instagram.com/anotherco?utm_source=PR&amp;utm_medium=nota&amp;utm_campaign=%22PR+Week%22+%2B+%22Brasil%22&amp;utm_id=Brasil" TargetMode="External"/><Relationship Id="rId14" Type="http://schemas.openxmlformats.org/officeDocument/2006/relationships/hyperlink" Target="https://twitter.com/anotherco?utm_source=PR&amp;utm_medium=nota&amp;utm_campaign=%22PR+Week%22+%2B+%22Brasil%22&amp;utm_id=Brasil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linkedin.com/company/anotherco/?utm_source=PR&amp;utm_medium=nota&amp;utm_campaign=%22PR+Week%22+%2B+%22Brasil%22&amp;utm_id=Brasi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another.co/?utm_source=PR+Week+-+Honduras&amp;utm_medium=PR+Week+-+Honduras&amp;utm_campaign=PR+Week+-+Honduras&amp;utm_id=PR+Week+-+Honduras&amp;utm_term=PR+Week+-+Honduras&amp;utm_content=PR+Week+-+Honduras" TargetMode="External"/><Relationship Id="rId8" Type="http://schemas.openxmlformats.org/officeDocument/2006/relationships/hyperlink" Target="https://another.co/?utm_source=PR+Week+-+Honduras&amp;utm_medium=PR+Week+-+Honduras&amp;utm_campaign=PR+Week+-+Honduras&amp;utm_id=PR+Week+-+Honduras&amp;utm_term=PR+Week+-+Honduras&amp;utm_content=PR+Week+-+Hondur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